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922"/>
        <w:gridCol w:w="2126"/>
      </w:tblGrid>
      <w:tr w:rsidR="00994C7C" w:rsidTr="004A316E">
        <w:tc>
          <w:tcPr>
            <w:tcW w:w="61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4C7C" w:rsidRPr="003C27F9" w:rsidRDefault="00994C7C" w:rsidP="00994C7C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  <w:r w:rsidRPr="003C27F9">
              <w:rPr>
                <w:b/>
                <w:sz w:val="24"/>
                <w:lang w:val="en-GB"/>
              </w:rPr>
              <w:t xml:space="preserve">Annex to the Contract pursuant to </w:t>
            </w:r>
            <w:r w:rsidR="00C74790">
              <w:rPr>
                <w:b/>
                <w:sz w:val="24"/>
                <w:lang w:val="en-GB"/>
              </w:rPr>
              <w:t>DE</w:t>
            </w:r>
            <w:r w:rsidRPr="003C27F9">
              <w:rPr>
                <w:b/>
                <w:sz w:val="24"/>
                <w:lang w:val="en-GB"/>
              </w:rPr>
              <w:t>-UZ 17</w:t>
            </w:r>
          </w:p>
          <w:p w:rsidR="00994C7C" w:rsidRPr="003C27F9" w:rsidRDefault="00994C7C" w:rsidP="00994C7C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</w:p>
          <w:p w:rsidR="00994C7C" w:rsidRPr="003C27F9" w:rsidRDefault="00994C7C" w:rsidP="00994C7C">
            <w:pPr>
              <w:tabs>
                <w:tab w:val="left" w:pos="5670"/>
              </w:tabs>
              <w:spacing w:line="360" w:lineRule="auto"/>
              <w:rPr>
                <w:b/>
                <w:sz w:val="24"/>
                <w:lang w:val="en-GB"/>
              </w:rPr>
            </w:pPr>
            <w:r w:rsidRPr="003C27F9">
              <w:rPr>
                <w:b/>
                <w:sz w:val="24"/>
                <w:lang w:val="en-GB"/>
              </w:rPr>
              <w:t xml:space="preserve">Environmental Label for </w:t>
            </w:r>
          </w:p>
          <w:p w:rsidR="00994C7C" w:rsidRDefault="00994C7C" w:rsidP="00994C7C">
            <w:pPr>
              <w:tabs>
                <w:tab w:val="left" w:pos="5670"/>
              </w:tabs>
              <w:rPr>
                <w:b/>
                <w:lang w:val="en-GB"/>
              </w:rPr>
            </w:pPr>
            <w:r w:rsidRPr="003C27F9">
              <w:rPr>
                <w:b/>
                <w:sz w:val="24"/>
                <w:lang w:val="en-GB"/>
              </w:rPr>
              <w:t>„</w:t>
            </w:r>
            <w:r>
              <w:rPr>
                <w:b/>
                <w:lang w:val="en-GB"/>
              </w:rPr>
              <w:t>Compostable Plant Containers and other Moulded Parts</w:t>
            </w:r>
          </w:p>
          <w:p w:rsidR="00994C7C" w:rsidRDefault="00994C7C" w:rsidP="00994C7C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  <w:lang w:val="en-GB"/>
              </w:rPr>
              <w:t xml:space="preserve">  from Waste </w:t>
            </w:r>
            <w:proofErr w:type="gramStart"/>
            <w:r>
              <w:rPr>
                <w:b/>
                <w:lang w:val="en-GB"/>
              </w:rPr>
              <w:t>Materials</w:t>
            </w:r>
            <w:r>
              <w:rPr>
                <w:b/>
                <w:sz w:val="24"/>
              </w:rPr>
              <w:t>“</w:t>
            </w:r>
            <w:proofErr w:type="gram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94C7C" w:rsidRDefault="00994C7C" w:rsidP="00994C7C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994C7C" w:rsidRDefault="00994C7C" w:rsidP="00994C7C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994C7C" w:rsidRDefault="00994C7C" w:rsidP="00994C7C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6" w:space="0" w:color="auto"/>
            </w:tcBorders>
          </w:tcPr>
          <w:p w:rsidR="00994C7C" w:rsidRDefault="00994C7C" w:rsidP="004A316E">
            <w:pPr>
              <w:tabs>
                <w:tab w:val="left" w:pos="5670"/>
              </w:tabs>
              <w:ind w:left="71"/>
              <w:rPr>
                <w:b/>
                <w:sz w:val="24"/>
              </w:rPr>
            </w:pPr>
          </w:p>
          <w:p w:rsidR="00994C7C" w:rsidRDefault="00994C7C" w:rsidP="00994C7C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Please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use</w:t>
            </w:r>
            <w:proofErr w:type="spellEnd"/>
          </w:p>
          <w:p w:rsidR="004A316E" w:rsidRDefault="004A316E" w:rsidP="004A316E">
            <w:pPr>
              <w:tabs>
                <w:tab w:val="left" w:pos="5670"/>
              </w:tabs>
              <w:ind w:hanging="138"/>
              <w:jc w:val="center"/>
              <w:rPr>
                <w:b/>
                <w:sz w:val="24"/>
              </w:rPr>
            </w:pPr>
          </w:p>
          <w:p w:rsidR="00994C7C" w:rsidRDefault="00994C7C" w:rsidP="00994C7C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this</w:t>
            </w:r>
            <w:proofErr w:type="spellEnd"/>
            <w:r>
              <w:rPr>
                <w:b/>
                <w:sz w:val="24"/>
              </w:rPr>
              <w:t xml:space="preserve"> form!</w:t>
            </w:r>
          </w:p>
          <w:p w:rsidR="00994C7C" w:rsidRDefault="00994C7C" w:rsidP="00994C7C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994C7C" w:rsidRDefault="00994C7C" w:rsidP="00994C7C">
      <w:pPr>
        <w:tabs>
          <w:tab w:val="left" w:pos="5670"/>
        </w:tabs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C74790" w:rsidRDefault="00C74790" w:rsidP="00C74790">
      <w:pPr>
        <w:tabs>
          <w:tab w:val="left" w:pos="6804"/>
        </w:tabs>
        <w:jc w:val="both"/>
        <w:rPr>
          <w:lang w:val="en-GB"/>
        </w:rPr>
      </w:pPr>
      <w:r>
        <w:rPr>
          <w:lang w:val="en-GB"/>
        </w:rPr>
        <w:t>Distributor: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bookmarkStart w:id="1" w:name="_GoBack"/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bookmarkEnd w:id="1"/>
      <w:r>
        <w:rPr>
          <w:lang w:val="en-GB"/>
        </w:rPr>
        <w:fldChar w:fldCharType="end"/>
      </w:r>
      <w:bookmarkEnd w:id="0"/>
    </w:p>
    <w:p w:rsidR="00C74790" w:rsidRDefault="00C74790" w:rsidP="00C74790">
      <w:pPr>
        <w:tabs>
          <w:tab w:val="left" w:pos="6804"/>
        </w:tabs>
        <w:jc w:val="both"/>
        <w:rPr>
          <w:lang w:val="en-GB"/>
        </w:rPr>
      </w:pPr>
      <w:r w:rsidRPr="00C74790">
        <w:rPr>
          <w:rFonts w:cs="Arial"/>
          <w:noProof/>
          <w:sz w:val="24"/>
          <w:szCs w:val="24"/>
          <w:lang w:val="en-US"/>
        </w:rPr>
        <w:t xml:space="preserve"> 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 w:rsidR="00994C7C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994C7C" w:rsidRDefault="00994C7C" w:rsidP="00994C7C">
      <w:pPr>
        <w:tabs>
          <w:tab w:val="left" w:pos="6804"/>
        </w:tabs>
        <w:jc w:val="both"/>
        <w:rPr>
          <w:lang w:val="en-GB"/>
        </w:rPr>
      </w:pPr>
    </w:p>
    <w:p w:rsidR="00994C7C" w:rsidRDefault="00994C7C" w:rsidP="00994C7C">
      <w:pPr>
        <w:tabs>
          <w:tab w:val="left" w:pos="6804"/>
        </w:tabs>
        <w:jc w:val="both"/>
        <w:rPr>
          <w:lang w:val="en-GB"/>
        </w:rPr>
      </w:pPr>
    </w:p>
    <w:p w:rsidR="00994C7C" w:rsidRDefault="00994C7C" w:rsidP="00994C7C">
      <w:pPr>
        <w:tabs>
          <w:tab w:val="left" w:pos="6804"/>
        </w:tabs>
        <w:jc w:val="both"/>
        <w:rPr>
          <w:lang w:val="en-GB"/>
        </w:rPr>
      </w:pPr>
    </w:p>
    <w:p w:rsidR="00C74790" w:rsidRDefault="00994C7C" w:rsidP="00C74790">
      <w:pPr>
        <w:tabs>
          <w:tab w:val="left" w:pos="6804"/>
        </w:tabs>
        <w:jc w:val="both"/>
        <w:rPr>
          <w:lang w:val="en-GB"/>
        </w:rPr>
      </w:pPr>
      <w:r>
        <w:rPr>
          <w:lang w:val="en-GB"/>
        </w:rPr>
        <w:t>Bra</w:t>
      </w:r>
      <w:r w:rsidR="00C74790">
        <w:rPr>
          <w:lang w:val="en-GB"/>
        </w:rPr>
        <w:t>nd / Trade Name:</w:t>
      </w:r>
      <w:r w:rsidR="00C74790" w:rsidRPr="00C74790">
        <w:rPr>
          <w:lang w:val="en-GB"/>
        </w:rPr>
        <w:t xml:space="preserve"> </w:t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74790">
        <w:rPr>
          <w:lang w:val="en-GB"/>
        </w:rPr>
        <w:instrText xml:space="preserve"> FORMTEXT </w:instrText>
      </w:r>
      <w:r w:rsidR="00C74790">
        <w:rPr>
          <w:lang w:val="en-GB"/>
        </w:rPr>
      </w:r>
      <w:r w:rsidR="00C74790">
        <w:rPr>
          <w:lang w:val="en-GB"/>
        </w:rPr>
        <w:fldChar w:fldCharType="separate"/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lang w:val="en-GB"/>
        </w:rPr>
        <w:fldChar w:fldCharType="end"/>
      </w:r>
    </w:p>
    <w:p w:rsidR="00994C7C" w:rsidRDefault="00C74790" w:rsidP="00994C7C">
      <w:pPr>
        <w:tabs>
          <w:tab w:val="left" w:pos="6804"/>
        </w:tabs>
        <w:jc w:val="both"/>
        <w:rPr>
          <w:lang w:val="en-GB"/>
        </w:rPr>
      </w:pPr>
      <w:r>
        <w:rPr>
          <w:lang w:val="en-GB"/>
        </w:rPr>
        <w:tab/>
      </w:r>
    </w:p>
    <w:p w:rsidR="00994C7C" w:rsidRDefault="00994C7C" w:rsidP="00994C7C">
      <w:pPr>
        <w:tabs>
          <w:tab w:val="left" w:pos="6804"/>
        </w:tabs>
        <w:jc w:val="both"/>
        <w:rPr>
          <w:lang w:val="en-GB"/>
        </w:rPr>
      </w:pPr>
    </w:p>
    <w:p w:rsidR="00994C7C" w:rsidRDefault="00994C7C" w:rsidP="00994C7C">
      <w:pPr>
        <w:tabs>
          <w:tab w:val="left" w:pos="6804"/>
        </w:tabs>
        <w:jc w:val="both"/>
        <w:rPr>
          <w:lang w:val="en-GB"/>
        </w:rPr>
      </w:pPr>
    </w:p>
    <w:p w:rsidR="00C74790" w:rsidRDefault="00994C7C" w:rsidP="00C74790">
      <w:pPr>
        <w:tabs>
          <w:tab w:val="left" w:pos="6804"/>
        </w:tabs>
        <w:jc w:val="both"/>
        <w:rPr>
          <w:lang w:val="en-GB"/>
        </w:rPr>
      </w:pPr>
      <w:r>
        <w:rPr>
          <w:lang w:val="en-GB"/>
        </w:rPr>
        <w:t>Product designation</w:t>
      </w:r>
      <w:r>
        <w:rPr>
          <w:rStyle w:val="Funotenzeichen"/>
          <w:lang w:val="en-GB"/>
        </w:rPr>
        <w:footnoteReference w:id="1"/>
      </w:r>
      <w:r>
        <w:rPr>
          <w:lang w:val="en-GB"/>
        </w:rPr>
        <w:t>:</w:t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74790">
        <w:rPr>
          <w:lang w:val="en-GB"/>
        </w:rPr>
        <w:instrText xml:space="preserve"> FORMTEXT </w:instrText>
      </w:r>
      <w:r w:rsidR="00C74790">
        <w:rPr>
          <w:lang w:val="en-GB"/>
        </w:rPr>
      </w:r>
      <w:r w:rsidR="00C74790">
        <w:rPr>
          <w:lang w:val="en-GB"/>
        </w:rPr>
        <w:fldChar w:fldCharType="separate"/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lang w:val="en-GB"/>
        </w:rPr>
        <w:fldChar w:fldCharType="end"/>
      </w: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Pr="00C74790" w:rsidRDefault="00994C7C" w:rsidP="00994C7C">
      <w:pPr>
        <w:numPr>
          <w:ilvl w:val="12"/>
          <w:numId w:val="0"/>
        </w:numPr>
        <w:tabs>
          <w:tab w:val="left" w:pos="6804"/>
        </w:tabs>
        <w:ind w:left="283" w:hanging="283"/>
        <w:jc w:val="both"/>
        <w:rPr>
          <w:lang w:val="en-GB"/>
        </w:rPr>
      </w:pPr>
      <w:r w:rsidRPr="00C74790">
        <w:rPr>
          <w:lang w:val="en-GB"/>
        </w:rPr>
        <w:t>according to para. 2.1</w:t>
      </w:r>
      <w:r w:rsidRPr="00C74790">
        <w:rPr>
          <w:lang w:val="en-GB"/>
        </w:rPr>
        <w:tab/>
      </w:r>
    </w:p>
    <w:p w:rsidR="00994C7C" w:rsidRDefault="00994C7C" w:rsidP="00994C7C">
      <w:pPr>
        <w:numPr>
          <w:ilvl w:val="0"/>
          <w:numId w:val="1"/>
        </w:numPr>
        <w:tabs>
          <w:tab w:val="left" w:pos="6804"/>
        </w:tabs>
        <w:ind w:left="283"/>
        <w:jc w:val="both"/>
        <w:rPr>
          <w:lang w:val="en-GB"/>
        </w:rPr>
      </w:pPr>
      <w:r>
        <w:rPr>
          <w:lang w:val="en-GB"/>
        </w:rPr>
        <w:t>according to para. 2.2</w:t>
      </w:r>
      <w:r>
        <w:rPr>
          <w:lang w:val="en-GB"/>
        </w:rPr>
        <w:tab/>
      </w: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C74790" w:rsidRDefault="00994C7C" w:rsidP="00C74790">
      <w:pPr>
        <w:tabs>
          <w:tab w:val="left" w:pos="6804"/>
        </w:tabs>
        <w:jc w:val="both"/>
        <w:rPr>
          <w:lang w:val="en-GB"/>
        </w:rPr>
      </w:pPr>
      <w:r>
        <w:rPr>
          <w:lang w:val="en-GB"/>
        </w:rPr>
        <w:t>Field of application:</w:t>
      </w:r>
      <w:r w:rsidR="00C74790" w:rsidRPr="00C74790">
        <w:rPr>
          <w:lang w:val="en-GB"/>
        </w:rPr>
        <w:t xml:space="preserve"> </w:t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tab/>
      </w:r>
      <w:r w:rsidR="00C74790"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74790">
        <w:rPr>
          <w:lang w:val="en-GB"/>
        </w:rPr>
        <w:instrText xml:space="preserve"> FORMTEXT </w:instrText>
      </w:r>
      <w:r w:rsidR="00C74790">
        <w:rPr>
          <w:lang w:val="en-GB"/>
        </w:rPr>
      </w:r>
      <w:r w:rsidR="00C74790">
        <w:rPr>
          <w:lang w:val="en-GB"/>
        </w:rPr>
        <w:fldChar w:fldCharType="separate"/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noProof/>
          <w:lang w:val="en-GB"/>
        </w:rPr>
        <w:t> </w:t>
      </w:r>
      <w:r w:rsidR="00C74790">
        <w:rPr>
          <w:lang w:val="en-GB"/>
        </w:rPr>
        <w:fldChar w:fldCharType="end"/>
      </w:r>
    </w:p>
    <w:p w:rsidR="00994C7C" w:rsidRDefault="00994C7C" w:rsidP="00994C7C">
      <w:pPr>
        <w:tabs>
          <w:tab w:val="left" w:pos="6804"/>
        </w:tabs>
        <w:jc w:val="both"/>
        <w:rPr>
          <w:lang w:val="en-GB"/>
        </w:rPr>
      </w:pPr>
      <w:r>
        <w:rPr>
          <w:lang w:val="en-GB"/>
        </w:rPr>
        <w:tab/>
      </w:r>
    </w:p>
    <w:p w:rsidR="00994C7C" w:rsidRDefault="00994C7C" w:rsidP="00994C7C">
      <w:pPr>
        <w:tabs>
          <w:tab w:val="left" w:pos="6804"/>
        </w:tabs>
        <w:jc w:val="both"/>
        <w:rPr>
          <w:lang w:val="en-GB"/>
        </w:rPr>
      </w:pPr>
    </w:p>
    <w:p w:rsidR="00C74790" w:rsidRDefault="00C74790" w:rsidP="00C74790">
      <w:pPr>
        <w:tabs>
          <w:tab w:val="left" w:pos="6804"/>
        </w:tabs>
        <w:jc w:val="both"/>
        <w:rPr>
          <w:lang w:val="en-GB"/>
        </w:rPr>
      </w:pPr>
      <w:r>
        <w:rPr>
          <w:lang w:val="en-GB"/>
        </w:rPr>
        <w:t>Functional materials used: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994C7C" w:rsidRDefault="00994C7C" w:rsidP="00C74790">
      <w:pPr>
        <w:tabs>
          <w:tab w:val="left" w:pos="6804"/>
        </w:tabs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B4531" w:rsidP="00994C7C">
      <w:pPr>
        <w:jc w:val="both"/>
        <w:rPr>
          <w:lang w:val="en-GB"/>
        </w:rPr>
      </w:pPr>
      <w:r>
        <w:rPr>
          <w:lang w:val="en-GB"/>
        </w:rPr>
        <w:t xml:space="preserve">3.1 </w:t>
      </w:r>
      <w:r w:rsidR="00994C7C">
        <w:rPr>
          <w:lang w:val="en-GB"/>
        </w:rPr>
        <w:t xml:space="preserve">The following </w:t>
      </w:r>
      <w:r>
        <w:rPr>
          <w:lang w:val="en-GB"/>
        </w:rPr>
        <w:t>biodegradable</w:t>
      </w:r>
      <w:r w:rsidR="00994C7C">
        <w:rPr>
          <w:lang w:val="en-GB"/>
        </w:rPr>
        <w:t xml:space="preserve"> compostable substances are contained in the product (weight per cent):</w:t>
      </w:r>
    </w:p>
    <w:p w:rsidR="00994C7C" w:rsidRDefault="00994C7C" w:rsidP="00994C7C">
      <w:pPr>
        <w:jc w:val="both"/>
        <w:rPr>
          <w:lang w:val="en-GB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330"/>
      </w:tblGrid>
      <w:tr w:rsidR="00994C7C">
        <w:tc>
          <w:tcPr>
            <w:tcW w:w="5812" w:type="dxa"/>
            <w:tcBorders>
              <w:bottom w:val="nil"/>
            </w:tcBorders>
          </w:tcPr>
          <w:p w:rsidR="00994C7C" w:rsidRDefault="00994C7C" w:rsidP="00994C7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Substances</w:t>
            </w:r>
          </w:p>
        </w:tc>
        <w:tc>
          <w:tcPr>
            <w:tcW w:w="3330" w:type="dxa"/>
          </w:tcPr>
          <w:p w:rsidR="00994C7C" w:rsidRDefault="00994C7C" w:rsidP="00994C7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Weight per cent</w:t>
            </w:r>
          </w:p>
        </w:tc>
      </w:tr>
      <w:tr w:rsidR="00994C7C">
        <w:tc>
          <w:tcPr>
            <w:tcW w:w="5812" w:type="dxa"/>
            <w:tcBorders>
              <w:bottom w:val="single" w:sz="6" w:space="0" w:color="auto"/>
            </w:tcBorders>
          </w:tcPr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jc w:val="both"/>
              <w:rPr>
                <w:lang w:val="en-GB"/>
              </w:rPr>
            </w:pPr>
          </w:p>
        </w:tc>
        <w:tc>
          <w:tcPr>
            <w:tcW w:w="3330" w:type="dxa"/>
            <w:tcBorders>
              <w:bottom w:val="nil"/>
            </w:tcBorders>
          </w:tcPr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Default="00C74790" w:rsidP="00C74790">
            <w:pPr>
              <w:tabs>
                <w:tab w:val="left" w:pos="6804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74790" w:rsidRPr="00C74790" w:rsidRDefault="00C74790" w:rsidP="00C74790">
            <w:pPr>
              <w:rPr>
                <w:lang w:val="en-GB"/>
              </w:rPr>
            </w:pPr>
          </w:p>
        </w:tc>
      </w:tr>
      <w:tr w:rsidR="00994C7C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94C7C" w:rsidRDefault="00994C7C" w:rsidP="00994C7C">
            <w:pPr>
              <w:jc w:val="both"/>
              <w:rPr>
                <w:lang w:val="en-GB"/>
              </w:rPr>
            </w:pPr>
          </w:p>
        </w:tc>
        <w:tc>
          <w:tcPr>
            <w:tcW w:w="3330" w:type="dxa"/>
            <w:tcBorders>
              <w:left w:val="single" w:sz="6" w:space="0" w:color="auto"/>
            </w:tcBorders>
          </w:tcPr>
          <w:p w:rsidR="00994C7C" w:rsidRDefault="00994C7C" w:rsidP="00994C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</w:tr>
    </w:tbl>
    <w:p w:rsidR="00994C7C" w:rsidRDefault="00994C7C" w:rsidP="00C74790">
      <w:pPr>
        <w:jc w:val="center"/>
        <w:rPr>
          <w:b/>
          <w:u w:val="single"/>
          <w:lang w:val="en-GB"/>
        </w:rPr>
      </w:pPr>
      <w:r>
        <w:rPr>
          <w:lang w:val="en-GB"/>
        </w:rPr>
        <w:br w:type="page"/>
      </w:r>
      <w:r>
        <w:rPr>
          <w:b/>
          <w:u w:val="single"/>
          <w:lang w:val="en-GB"/>
        </w:rPr>
        <w:lastRenderedPageBreak/>
        <w:t>Declaration of the Applicant:</w:t>
      </w: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  <w:r>
        <w:rPr>
          <w:lang w:val="en-GB"/>
        </w:rPr>
        <w:t>It is hereby stated that</w:t>
      </w: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numPr>
          <w:ilvl w:val="12"/>
          <w:numId w:val="0"/>
        </w:numPr>
        <w:ind w:left="283" w:hanging="283"/>
        <w:jc w:val="both"/>
        <w:rPr>
          <w:lang w:val="en-GB"/>
        </w:rPr>
      </w:pPr>
    </w:p>
    <w:p w:rsidR="001249C8" w:rsidRDefault="00994C7C" w:rsidP="001249C8">
      <w:pPr>
        <w:numPr>
          <w:ilvl w:val="0"/>
          <w:numId w:val="1"/>
        </w:numPr>
        <w:ind w:left="283"/>
        <w:jc w:val="both"/>
        <w:rPr>
          <w:lang w:val="en-GB"/>
        </w:rPr>
      </w:pPr>
      <w:r>
        <w:rPr>
          <w:lang w:val="en-GB"/>
        </w:rPr>
        <w:t>neither synthetic plastic materials, nor plasticizers, nor PVC- containing materials according to para. 3.2 are contained in the products,</w:t>
      </w:r>
      <w:r w:rsidR="001249C8" w:rsidRPr="001249C8">
        <w:rPr>
          <w:lang w:val="en-GB"/>
        </w:rPr>
        <w:t xml:space="preserve"> </w:t>
      </w:r>
    </w:p>
    <w:p w:rsidR="001249C8" w:rsidRDefault="001249C8" w:rsidP="001249C8">
      <w:pPr>
        <w:ind w:left="283"/>
        <w:jc w:val="both"/>
        <w:rPr>
          <w:lang w:val="en-GB"/>
        </w:rPr>
      </w:pPr>
    </w:p>
    <w:p w:rsidR="001249C8" w:rsidRDefault="001249C8" w:rsidP="001249C8">
      <w:pPr>
        <w:numPr>
          <w:ilvl w:val="0"/>
          <w:numId w:val="1"/>
        </w:numPr>
        <w:ind w:left="283"/>
        <w:jc w:val="both"/>
        <w:rPr>
          <w:lang w:val="en-GB"/>
        </w:rPr>
      </w:pPr>
      <w:r>
        <w:rPr>
          <w:lang w:val="en-GB"/>
        </w:rPr>
        <w:t>the product meets the serviceability requirements for the given field of application pursuant to paragraph 3.3,</w:t>
      </w:r>
    </w:p>
    <w:p w:rsidR="00994C7C" w:rsidRDefault="00994C7C" w:rsidP="00994C7C">
      <w:pPr>
        <w:numPr>
          <w:ilvl w:val="12"/>
          <w:numId w:val="0"/>
        </w:numPr>
        <w:ind w:left="283" w:hanging="283"/>
        <w:jc w:val="both"/>
        <w:rPr>
          <w:lang w:val="en-GB"/>
        </w:rPr>
      </w:pPr>
    </w:p>
    <w:p w:rsidR="00994C7C" w:rsidRDefault="00994C7C" w:rsidP="00994C7C">
      <w:pPr>
        <w:numPr>
          <w:ilvl w:val="0"/>
          <w:numId w:val="1"/>
        </w:numPr>
        <w:ind w:left="283"/>
        <w:jc w:val="both"/>
        <w:rPr>
          <w:lang w:val="en-GB"/>
        </w:rPr>
      </w:pPr>
      <w:r>
        <w:rPr>
          <w:lang w:val="en-GB"/>
        </w:rPr>
        <w:t xml:space="preserve">no biocide substances are contained in the products pursuant to para. </w:t>
      </w:r>
      <w:r w:rsidR="001249C8">
        <w:rPr>
          <w:lang w:val="en-GB"/>
        </w:rPr>
        <w:t>3.4</w:t>
      </w:r>
      <w:r>
        <w:rPr>
          <w:rStyle w:val="Funotenzeichen"/>
          <w:lang w:val="en-GB"/>
        </w:rPr>
        <w:footnoteReference w:id="2"/>
      </w:r>
      <w:r>
        <w:rPr>
          <w:lang w:val="en-GB"/>
        </w:rPr>
        <w:t>.</w:t>
      </w:r>
    </w:p>
    <w:p w:rsidR="00994C7C" w:rsidRDefault="00994C7C" w:rsidP="00994C7C">
      <w:pPr>
        <w:numPr>
          <w:ilvl w:val="12"/>
          <w:numId w:val="0"/>
        </w:numPr>
        <w:ind w:left="283" w:hanging="283"/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  <w:r>
        <w:rPr>
          <w:lang w:val="en-GB"/>
        </w:rPr>
        <w:t xml:space="preserve">The Bundesamt für Wehrtechnik und Beschaffung (Federal Office for Defense Technology and Procurement) has registered the product under Supply Reg. No. </w:t>
      </w:r>
      <w:r w:rsidR="001249C8">
        <w:rPr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1249C8">
        <w:rPr>
          <w:lang w:val="en-GB"/>
        </w:rPr>
        <w:instrText xml:space="preserve"> FORMTEXT </w:instrText>
      </w:r>
      <w:r w:rsidR="001249C8">
        <w:rPr>
          <w:lang w:val="en-GB"/>
        </w:rPr>
      </w:r>
      <w:r w:rsidR="001249C8">
        <w:rPr>
          <w:lang w:val="en-GB"/>
        </w:rPr>
        <w:fldChar w:fldCharType="separate"/>
      </w:r>
      <w:r w:rsidR="001249C8">
        <w:rPr>
          <w:noProof/>
          <w:lang w:val="en-GB"/>
        </w:rPr>
        <w:t> </w:t>
      </w:r>
      <w:r w:rsidR="001249C8">
        <w:rPr>
          <w:noProof/>
          <w:lang w:val="en-GB"/>
        </w:rPr>
        <w:t> </w:t>
      </w:r>
      <w:r w:rsidR="001249C8">
        <w:rPr>
          <w:noProof/>
          <w:lang w:val="en-GB"/>
        </w:rPr>
        <w:t> </w:t>
      </w:r>
      <w:r w:rsidR="001249C8">
        <w:rPr>
          <w:noProof/>
          <w:lang w:val="en-GB"/>
        </w:rPr>
        <w:t> </w:t>
      </w:r>
      <w:r w:rsidR="001249C8">
        <w:rPr>
          <w:noProof/>
          <w:lang w:val="en-GB"/>
        </w:rPr>
        <w:t> </w:t>
      </w:r>
      <w:r w:rsidR="001249C8">
        <w:rPr>
          <w:lang w:val="en-GB"/>
        </w:rPr>
        <w:fldChar w:fldCharType="end"/>
      </w:r>
      <w:bookmarkEnd w:id="2"/>
      <w:r>
        <w:rPr>
          <w:rStyle w:val="Funotenzeichen"/>
          <w:lang w:val="en-GB"/>
        </w:rPr>
        <w:footnoteReference w:id="3"/>
      </w: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b/>
          <w:u w:val="single"/>
          <w:lang w:val="en-GB"/>
        </w:rPr>
      </w:pPr>
      <w:r>
        <w:rPr>
          <w:b/>
          <w:u w:val="single"/>
          <w:lang w:val="en-GB"/>
        </w:rPr>
        <w:t>Annexes:</w:t>
      </w: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numPr>
          <w:ilvl w:val="0"/>
          <w:numId w:val="1"/>
        </w:numPr>
        <w:ind w:left="284" w:hanging="284"/>
        <w:jc w:val="both"/>
        <w:rPr>
          <w:lang w:val="en-GB"/>
        </w:rPr>
      </w:pPr>
      <w:r>
        <w:rPr>
          <w:lang w:val="en-GB"/>
        </w:rPr>
        <w:t>Product samples</w:t>
      </w:r>
    </w:p>
    <w:p w:rsidR="00994C7C" w:rsidRDefault="00994C7C" w:rsidP="00994C7C">
      <w:pPr>
        <w:numPr>
          <w:ilvl w:val="0"/>
          <w:numId w:val="1"/>
        </w:numPr>
        <w:ind w:left="283"/>
        <w:jc w:val="both"/>
        <w:rPr>
          <w:lang w:val="en-GB"/>
        </w:rPr>
      </w:pPr>
      <w:r>
        <w:rPr>
          <w:lang w:val="en-GB"/>
        </w:rPr>
        <w:t>Product description (brochures)</w:t>
      </w: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994C7C" w:rsidRDefault="00994C7C" w:rsidP="00994C7C">
      <w:pPr>
        <w:jc w:val="both"/>
        <w:rPr>
          <w:lang w:val="en-GB"/>
        </w:rPr>
      </w:pPr>
    </w:p>
    <w:p w:rsidR="001249C8" w:rsidRPr="001249C8" w:rsidRDefault="001249C8" w:rsidP="001249C8">
      <w:pPr>
        <w:jc w:val="both"/>
        <w:rPr>
          <w:lang w:val="en-GB"/>
        </w:rPr>
      </w:pPr>
      <w:r w:rsidRPr="001249C8">
        <w:rPr>
          <w:lang w:val="en-GB"/>
        </w:rPr>
        <w:t xml:space="preserve">Location: </w:t>
      </w:r>
      <w:r w:rsidRPr="001249C8">
        <w:rPr>
          <w:lang w:val="en-GB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1249C8">
        <w:rPr>
          <w:lang w:val="en-GB"/>
        </w:rPr>
        <w:instrText xml:space="preserve"> FORMTEXT </w:instrText>
      </w:r>
      <w:r w:rsidRPr="001249C8">
        <w:rPr>
          <w:lang w:val="en-GB"/>
        </w:rPr>
      </w:r>
      <w:r w:rsidRPr="001249C8">
        <w:rPr>
          <w:lang w:val="en-GB"/>
        </w:rPr>
        <w:fldChar w:fldCharType="separate"/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fldChar w:fldCharType="end"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  <w:t>Legally binding signature</w:t>
      </w:r>
    </w:p>
    <w:p w:rsidR="001249C8" w:rsidRPr="001249C8" w:rsidRDefault="001249C8" w:rsidP="001249C8">
      <w:pPr>
        <w:jc w:val="both"/>
        <w:rPr>
          <w:lang w:val="en-GB"/>
        </w:rPr>
      </w:pPr>
      <w:r w:rsidRPr="001249C8">
        <w:rPr>
          <w:lang w:val="en-GB"/>
        </w:rPr>
        <w:tab/>
      </w:r>
      <w:r w:rsidRPr="001249C8">
        <w:rPr>
          <w:lang w:val="en-GB"/>
        </w:rPr>
        <w:tab/>
      </w:r>
      <w:r w:rsidRPr="001249C8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1249C8">
        <w:rPr>
          <w:lang w:val="en-GB"/>
        </w:rPr>
        <w:t>and company stamp</w:t>
      </w:r>
    </w:p>
    <w:p w:rsidR="001249C8" w:rsidRPr="001249C8" w:rsidRDefault="001249C8" w:rsidP="001249C8">
      <w:pPr>
        <w:jc w:val="both"/>
        <w:rPr>
          <w:lang w:val="en-GB"/>
        </w:rPr>
      </w:pPr>
      <w:r w:rsidRPr="001249C8">
        <w:rPr>
          <w:lang w:val="en-GB"/>
        </w:rPr>
        <w:t>Date:</w:t>
      </w:r>
      <w:r w:rsidRPr="001249C8">
        <w:rPr>
          <w:lang w:val="en-GB"/>
        </w:rPr>
        <w:tab/>
      </w:r>
      <w:r w:rsidRPr="001249C8">
        <w:rPr>
          <w:lang w:val="en-GB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1249C8">
        <w:rPr>
          <w:lang w:val="en-GB"/>
        </w:rPr>
        <w:instrText xml:space="preserve"> FORMTEXT </w:instrText>
      </w:r>
      <w:r w:rsidRPr="001249C8">
        <w:rPr>
          <w:lang w:val="en-GB"/>
        </w:rPr>
      </w:r>
      <w:r w:rsidRPr="001249C8">
        <w:rPr>
          <w:lang w:val="en-GB"/>
        </w:rPr>
        <w:fldChar w:fldCharType="separate"/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t> </w:t>
      </w:r>
      <w:r w:rsidRPr="001249C8">
        <w:rPr>
          <w:lang w:val="en-GB"/>
        </w:rPr>
        <w:fldChar w:fldCharType="end"/>
      </w:r>
      <w:r w:rsidRPr="001249C8">
        <w:rPr>
          <w:lang w:val="en-GB"/>
        </w:rPr>
        <w:t xml:space="preserve">                                                    </w:t>
      </w:r>
      <w:r>
        <w:rPr>
          <w:lang w:val="en-GB"/>
        </w:rPr>
        <w:tab/>
      </w:r>
      <w:r>
        <w:rPr>
          <w:lang w:val="en-GB"/>
        </w:rPr>
        <w:tab/>
      </w:r>
      <w:r w:rsidRPr="001249C8">
        <w:rPr>
          <w:lang w:val="en-GB"/>
        </w:rPr>
        <w:t>of the manufacturer/ supplier</w:t>
      </w:r>
    </w:p>
    <w:sectPr w:rsidR="001249C8" w:rsidRPr="001249C8" w:rsidSect="004A316E">
      <w:headerReference w:type="default" r:id="rId7"/>
      <w:footerReference w:type="default" r:id="rId8"/>
      <w:footerReference w:type="first" r:id="rId9"/>
      <w:pgSz w:w="11907" w:h="16840" w:code="9"/>
      <w:pgMar w:top="1985" w:right="1276" w:bottom="1134" w:left="1418" w:header="680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DCC" w:rsidRDefault="00E06DCC">
      <w:r>
        <w:separator/>
      </w:r>
    </w:p>
  </w:endnote>
  <w:endnote w:type="continuationSeparator" w:id="0">
    <w:p w:rsidR="00E06DCC" w:rsidRDefault="00E06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9C8" w:rsidRPr="001249C8" w:rsidRDefault="004A316E">
    <w:pPr>
      <w:pStyle w:val="Fuzeile"/>
      <w:rPr>
        <w:lang w:val="en-US"/>
      </w:rPr>
    </w:pPr>
    <w:r>
      <w:rPr>
        <w:rFonts w:ascii="Arial" w:hAnsi="Arial"/>
        <w:sz w:val="22"/>
        <w:lang w:val="en-US"/>
      </w:rPr>
      <w:t xml:space="preserve">06.01.2018 </w:t>
    </w:r>
    <w:r w:rsidR="001249C8" w:rsidRPr="001249C8">
      <w:rPr>
        <w:rFonts w:ascii="Arial" w:hAnsi="Arial"/>
        <w:sz w:val="22"/>
        <w:lang w:val="en-US"/>
      </w:rPr>
      <w:t>A</w:t>
    </w:r>
    <w:r w:rsidR="001249C8">
      <w:rPr>
        <w:rFonts w:ascii="Arial" w:hAnsi="Arial"/>
        <w:sz w:val="22"/>
        <w:lang w:val="en-US"/>
      </w:rPr>
      <w:t>nnex 1</w:t>
    </w:r>
    <w:r w:rsidR="001249C8" w:rsidRPr="001249C8">
      <w:rPr>
        <w:rFonts w:ascii="Arial" w:hAnsi="Arial"/>
        <w:sz w:val="22"/>
        <w:lang w:val="en-US"/>
      </w:rPr>
      <w:t xml:space="preserve"> to the contract </w:t>
    </w:r>
    <w:r w:rsidR="001249C8" w:rsidRPr="001249C8">
      <w:rPr>
        <w:rFonts w:ascii="Arial" w:hAnsi="Arial"/>
        <w:sz w:val="22"/>
        <w:lang w:val="en-US"/>
      </w:rPr>
      <w:tab/>
    </w:r>
    <w:r w:rsidR="001249C8">
      <w:rPr>
        <w:rStyle w:val="Seitenzahl"/>
        <w:rFonts w:ascii="Arial" w:hAnsi="Arial"/>
        <w:sz w:val="22"/>
      </w:rPr>
      <w:fldChar w:fldCharType="begin"/>
    </w:r>
    <w:r w:rsidR="001249C8" w:rsidRPr="001249C8">
      <w:rPr>
        <w:rStyle w:val="Seitenzahl"/>
        <w:rFonts w:ascii="Arial" w:hAnsi="Arial"/>
        <w:sz w:val="22"/>
        <w:lang w:val="en-US"/>
      </w:rPr>
      <w:instrText xml:space="preserve"> PAGE </w:instrText>
    </w:r>
    <w:r w:rsidR="001249C8">
      <w:rPr>
        <w:rStyle w:val="Seitenzahl"/>
        <w:rFonts w:ascii="Arial" w:hAnsi="Arial"/>
        <w:sz w:val="22"/>
      </w:rPr>
      <w:fldChar w:fldCharType="separate"/>
    </w:r>
    <w:r w:rsidR="009B4531">
      <w:rPr>
        <w:rStyle w:val="Seitenzahl"/>
        <w:rFonts w:ascii="Arial" w:hAnsi="Arial"/>
        <w:noProof/>
        <w:sz w:val="22"/>
        <w:lang w:val="en-US"/>
      </w:rPr>
      <w:t>1</w:t>
    </w:r>
    <w:r w:rsidR="001249C8">
      <w:rPr>
        <w:rStyle w:val="Seitenzahl"/>
        <w:rFonts w:ascii="Arial" w:hAnsi="Arial"/>
        <w:sz w:val="22"/>
      </w:rPr>
      <w:fldChar w:fldCharType="end"/>
    </w:r>
    <w:r w:rsidR="001249C8" w:rsidRPr="001249C8">
      <w:rPr>
        <w:rFonts w:ascii="Arial" w:hAnsi="Arial"/>
        <w:sz w:val="22"/>
        <w:lang w:val="en-US"/>
      </w:rPr>
      <w:t>/</w:t>
    </w:r>
    <w:r w:rsidR="001249C8">
      <w:rPr>
        <w:rFonts w:ascii="Arial" w:hAnsi="Arial"/>
        <w:sz w:val="22"/>
      </w:rPr>
      <w:fldChar w:fldCharType="begin"/>
    </w:r>
    <w:r w:rsidR="001249C8" w:rsidRPr="001249C8">
      <w:rPr>
        <w:rFonts w:ascii="Arial" w:hAnsi="Arial"/>
        <w:sz w:val="22"/>
        <w:lang w:val="en-US"/>
      </w:rPr>
      <w:instrText xml:space="preserve"> NUMPAGES  \* Arabic  \* MERGEFORMAT </w:instrText>
    </w:r>
    <w:r w:rsidR="001249C8">
      <w:rPr>
        <w:rFonts w:ascii="Arial" w:hAnsi="Arial"/>
        <w:sz w:val="22"/>
      </w:rPr>
      <w:fldChar w:fldCharType="separate"/>
    </w:r>
    <w:r w:rsidR="009B4531">
      <w:rPr>
        <w:rFonts w:ascii="Arial" w:hAnsi="Arial"/>
        <w:noProof/>
        <w:sz w:val="22"/>
        <w:lang w:val="en-US"/>
      </w:rPr>
      <w:t>2</w:t>
    </w:r>
    <w:r w:rsidR="001249C8">
      <w:rPr>
        <w:rFonts w:ascii="Arial" w:hAnsi="Arial"/>
        <w:sz w:val="22"/>
      </w:rPr>
      <w:fldChar w:fldCharType="end"/>
    </w:r>
    <w:r w:rsidR="001249C8">
      <w:rPr>
        <w:rFonts w:ascii="Arial" w:hAnsi="Arial"/>
        <w:sz w:val="22"/>
        <w:lang w:val="en-US"/>
      </w:rPr>
      <w:tab/>
      <w:t xml:space="preserve">DE-UZ </w:t>
    </w:r>
    <w:r w:rsidR="001249C8" w:rsidRPr="001249C8">
      <w:rPr>
        <w:rFonts w:ascii="Arial" w:hAnsi="Arial"/>
        <w:sz w:val="22"/>
        <w:lang w:val="en-US"/>
      </w:rPr>
      <w:t>17 Edition January 20</w:t>
    </w:r>
    <w:r w:rsidR="001249C8">
      <w:rPr>
        <w:rFonts w:ascii="Arial" w:hAnsi="Arial"/>
        <w:sz w:val="22"/>
        <w:lang w:val="en-US"/>
      </w:rPr>
      <w:t>0</w:t>
    </w:r>
    <w:r w:rsidR="001249C8" w:rsidRPr="001249C8">
      <w:rPr>
        <w:rFonts w:ascii="Arial" w:hAnsi="Arial"/>
        <w:sz w:val="22"/>
        <w:lang w:val="en-US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9C8" w:rsidRPr="001249C8" w:rsidRDefault="001249C8" w:rsidP="001249C8">
    <w:pPr>
      <w:pStyle w:val="Fuzeile"/>
      <w:rPr>
        <w:szCs w:val="22"/>
        <w:lang w:val="en-US"/>
      </w:rPr>
    </w:pPr>
    <w:r w:rsidRPr="001249C8">
      <w:rPr>
        <w:rFonts w:ascii="Arial" w:hAnsi="Arial"/>
        <w:sz w:val="22"/>
        <w:lang w:val="en-US"/>
      </w:rPr>
      <w:t xml:space="preserve">Annex 3a to the contract </w:t>
    </w:r>
    <w:r w:rsidRPr="001249C8">
      <w:rPr>
        <w:rFonts w:ascii="Arial" w:hAnsi="Arial"/>
        <w:sz w:val="22"/>
        <w:lang w:val="en-US"/>
      </w:rPr>
      <w:tab/>
    </w:r>
    <w:r>
      <w:rPr>
        <w:rStyle w:val="Seitenzahl"/>
        <w:rFonts w:ascii="Arial" w:hAnsi="Arial"/>
        <w:sz w:val="22"/>
      </w:rPr>
      <w:fldChar w:fldCharType="begin"/>
    </w:r>
    <w:r w:rsidRPr="001249C8">
      <w:rPr>
        <w:rStyle w:val="Seitenzahl"/>
        <w:rFonts w:ascii="Arial" w:hAnsi="Arial"/>
        <w:sz w:val="22"/>
        <w:lang w:val="en-US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>
      <w:rPr>
        <w:rStyle w:val="Seitenzahl"/>
        <w:rFonts w:ascii="Arial" w:hAnsi="Arial"/>
        <w:noProof/>
        <w:sz w:val="22"/>
        <w:lang w:val="en-US"/>
      </w:rPr>
      <w:t>1</w:t>
    </w:r>
    <w:r>
      <w:rPr>
        <w:rStyle w:val="Seitenzahl"/>
        <w:rFonts w:ascii="Arial" w:hAnsi="Arial"/>
        <w:sz w:val="22"/>
      </w:rPr>
      <w:fldChar w:fldCharType="end"/>
    </w:r>
    <w:r w:rsidRPr="001249C8">
      <w:rPr>
        <w:rFonts w:ascii="Arial" w:hAnsi="Arial"/>
        <w:sz w:val="22"/>
        <w:lang w:val="en-US"/>
      </w:rPr>
      <w:t>/</w:t>
    </w:r>
    <w:r>
      <w:rPr>
        <w:rFonts w:ascii="Arial" w:hAnsi="Arial"/>
        <w:sz w:val="22"/>
      </w:rPr>
      <w:fldChar w:fldCharType="begin"/>
    </w:r>
    <w:r w:rsidRPr="001249C8">
      <w:rPr>
        <w:rFonts w:ascii="Arial" w:hAnsi="Arial"/>
        <w:sz w:val="22"/>
        <w:lang w:val="en-US"/>
      </w:rPr>
      <w:instrText xml:space="preserve"> NUMPAGES  \* Arabic  \* MERGEFORMAT </w:instrText>
    </w:r>
    <w:r>
      <w:rPr>
        <w:rFonts w:ascii="Arial" w:hAnsi="Arial"/>
        <w:sz w:val="22"/>
      </w:rPr>
      <w:fldChar w:fldCharType="separate"/>
    </w:r>
    <w:r>
      <w:rPr>
        <w:rFonts w:ascii="Arial" w:hAnsi="Arial"/>
        <w:noProof/>
        <w:sz w:val="22"/>
        <w:lang w:val="en-US"/>
      </w:rPr>
      <w:t>2</w:t>
    </w:r>
    <w:r>
      <w:rPr>
        <w:rFonts w:ascii="Arial" w:hAnsi="Arial"/>
        <w:sz w:val="22"/>
      </w:rPr>
      <w:fldChar w:fldCharType="end"/>
    </w:r>
    <w:r w:rsidRPr="001249C8">
      <w:rPr>
        <w:rFonts w:ascii="Arial" w:hAnsi="Arial"/>
        <w:sz w:val="22"/>
        <w:lang w:val="en-US"/>
      </w:rPr>
      <w:tab/>
      <w:t>UZ 117 Edition January 2018</w:t>
    </w:r>
  </w:p>
  <w:p w:rsidR="001249C8" w:rsidRPr="001249C8" w:rsidRDefault="001249C8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DCC" w:rsidRDefault="00E06DCC">
      <w:r>
        <w:separator/>
      </w:r>
    </w:p>
  </w:footnote>
  <w:footnote w:type="continuationSeparator" w:id="0">
    <w:p w:rsidR="00E06DCC" w:rsidRDefault="00E06DCC">
      <w:r>
        <w:continuationSeparator/>
      </w:r>
    </w:p>
  </w:footnote>
  <w:footnote w:id="1">
    <w:p w:rsidR="00C74790" w:rsidRPr="00E503C1" w:rsidRDefault="00C74790" w:rsidP="00994C7C">
      <w:pPr>
        <w:pStyle w:val="Funotentext"/>
        <w:rPr>
          <w:sz w:val="18"/>
          <w:szCs w:val="18"/>
          <w:lang w:val="en-GB"/>
        </w:rPr>
      </w:pPr>
      <w:r>
        <w:rPr>
          <w:rStyle w:val="Funotenzeichen"/>
        </w:rPr>
        <w:footnoteRef/>
      </w:r>
      <w:r w:rsidRPr="008F3D80">
        <w:rPr>
          <w:sz w:val="16"/>
          <w:szCs w:val="16"/>
          <w:lang w:val="en-GB"/>
        </w:rPr>
        <w:t xml:space="preserve"> </w:t>
      </w:r>
      <w:r w:rsidRPr="00E503C1">
        <w:rPr>
          <w:sz w:val="18"/>
          <w:szCs w:val="18"/>
          <w:lang w:val="en-GB"/>
        </w:rPr>
        <w:t>One "Annex to the Contract" shall be completed for each different product designation.</w:t>
      </w:r>
    </w:p>
  </w:footnote>
  <w:footnote w:id="2">
    <w:p w:rsidR="00C74790" w:rsidRPr="00E503C1" w:rsidRDefault="00C74790" w:rsidP="00994C7C">
      <w:pPr>
        <w:pStyle w:val="Funotentext"/>
        <w:rPr>
          <w:sz w:val="18"/>
          <w:szCs w:val="18"/>
          <w:lang w:val="en-GB"/>
        </w:rPr>
      </w:pPr>
      <w:r w:rsidRPr="00E503C1">
        <w:rPr>
          <w:rStyle w:val="Funotenzeichen"/>
          <w:sz w:val="18"/>
          <w:szCs w:val="18"/>
        </w:rPr>
        <w:footnoteRef/>
      </w:r>
      <w:r w:rsidRPr="00E503C1">
        <w:rPr>
          <w:sz w:val="18"/>
          <w:szCs w:val="18"/>
          <w:lang w:val="en-GB"/>
        </w:rPr>
        <w:t xml:space="preserve"> Please delete what does not apply.</w:t>
      </w:r>
    </w:p>
  </w:footnote>
  <w:footnote w:id="3">
    <w:p w:rsidR="00C74790" w:rsidRPr="00E503C1" w:rsidRDefault="00C74790" w:rsidP="00994C7C">
      <w:pPr>
        <w:ind w:left="142" w:hanging="142"/>
        <w:jc w:val="both"/>
        <w:rPr>
          <w:sz w:val="18"/>
          <w:szCs w:val="18"/>
          <w:lang w:val="en-GB"/>
        </w:rPr>
      </w:pPr>
      <w:r w:rsidRPr="00E503C1">
        <w:rPr>
          <w:rStyle w:val="Funotenzeichen"/>
          <w:sz w:val="18"/>
          <w:szCs w:val="18"/>
        </w:rPr>
        <w:footnoteRef/>
      </w:r>
      <w:r w:rsidRPr="00E503C1">
        <w:rPr>
          <w:sz w:val="18"/>
          <w:szCs w:val="18"/>
          <w:lang w:val="en-GB"/>
        </w:rPr>
        <w:t xml:space="preserve"> Products equipped with a Supply </w:t>
      </w:r>
      <w:proofErr w:type="spellStart"/>
      <w:r w:rsidRPr="00E503C1">
        <w:rPr>
          <w:sz w:val="18"/>
          <w:szCs w:val="18"/>
          <w:lang w:val="en-GB"/>
        </w:rPr>
        <w:t>Reg.No</w:t>
      </w:r>
      <w:proofErr w:type="spellEnd"/>
      <w:r w:rsidRPr="00E503C1">
        <w:rPr>
          <w:sz w:val="18"/>
          <w:szCs w:val="18"/>
          <w:lang w:val="en-GB"/>
        </w:rPr>
        <w:t xml:space="preserve">. are reported by the Federal Environmental Agency to the </w:t>
      </w:r>
      <w:proofErr w:type="spellStart"/>
      <w:r w:rsidRPr="00E503C1">
        <w:rPr>
          <w:sz w:val="18"/>
          <w:szCs w:val="18"/>
          <w:lang w:val="en-GB"/>
        </w:rPr>
        <w:t>Bundesmaterialkatalogisierungszentrale</w:t>
      </w:r>
      <w:proofErr w:type="spellEnd"/>
      <w:r w:rsidRPr="00E503C1">
        <w:rPr>
          <w:sz w:val="18"/>
          <w:szCs w:val="18"/>
          <w:lang w:val="en-GB"/>
        </w:rPr>
        <w:t xml:space="preserve"> (Central Federal Office for Material Registration). Its information system kept for various procurement offices of the Federal Government lists these products with a special mark indicating that they have been awarded the Environmental Label. The Environmental Label has no influence on the issuance of a Supply </w:t>
      </w:r>
      <w:proofErr w:type="spellStart"/>
      <w:r w:rsidRPr="00E503C1">
        <w:rPr>
          <w:sz w:val="18"/>
          <w:szCs w:val="18"/>
          <w:lang w:val="en-GB"/>
        </w:rPr>
        <w:t>Reg.No</w:t>
      </w:r>
      <w:proofErr w:type="spellEnd"/>
      <w:r w:rsidRPr="00E503C1">
        <w:rPr>
          <w:sz w:val="18"/>
          <w:szCs w:val="18"/>
          <w:lang w:val="en-GB"/>
        </w:rPr>
        <w:t xml:space="preserve">..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16E" w:rsidRDefault="004A316E" w:rsidP="004A316E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5043563</wp:posOffset>
          </wp:positionH>
          <wp:positionV relativeFrom="paragraph">
            <wp:posOffset>33020</wp:posOffset>
          </wp:positionV>
          <wp:extent cx="797560" cy="556260"/>
          <wp:effectExtent l="0" t="0" r="2540" b="0"/>
          <wp:wrapSquare wrapText="bothSides"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56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7AE0866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/LPFNkpkWCBK8INiA6yb/3+VwmYyrkr2tfW9DAHxXGXowqGVui23otYASvuNW/iiQXFa1VQJnrCIxpUPAPppA==" w:salt="zrokg8YgbQpFU7KTQ6BGYw=="/>
  <w:defaultTabStop w:val="708"/>
  <w:hyphenationZone w:val="425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686"/>
    <w:rsid w:val="000065B1"/>
    <w:rsid w:val="000231A4"/>
    <w:rsid w:val="00036D6D"/>
    <w:rsid w:val="00043319"/>
    <w:rsid w:val="00070735"/>
    <w:rsid w:val="000A6CB6"/>
    <w:rsid w:val="000C0533"/>
    <w:rsid w:val="000F45C8"/>
    <w:rsid w:val="00107258"/>
    <w:rsid w:val="00114E40"/>
    <w:rsid w:val="001249C8"/>
    <w:rsid w:val="00136CA0"/>
    <w:rsid w:val="0015300C"/>
    <w:rsid w:val="00153D83"/>
    <w:rsid w:val="00154AC5"/>
    <w:rsid w:val="001575C8"/>
    <w:rsid w:val="00164471"/>
    <w:rsid w:val="00164DA3"/>
    <w:rsid w:val="0017595D"/>
    <w:rsid w:val="001C252D"/>
    <w:rsid w:val="001D3AA6"/>
    <w:rsid w:val="001E0D9D"/>
    <w:rsid w:val="001E4588"/>
    <w:rsid w:val="001F1A12"/>
    <w:rsid w:val="001F217B"/>
    <w:rsid w:val="00222D33"/>
    <w:rsid w:val="00235AFC"/>
    <w:rsid w:val="002477A9"/>
    <w:rsid w:val="00255763"/>
    <w:rsid w:val="002637F4"/>
    <w:rsid w:val="00293E19"/>
    <w:rsid w:val="002A064B"/>
    <w:rsid w:val="002A23E4"/>
    <w:rsid w:val="002A689C"/>
    <w:rsid w:val="002C44E2"/>
    <w:rsid w:val="002D750A"/>
    <w:rsid w:val="002F011D"/>
    <w:rsid w:val="00303066"/>
    <w:rsid w:val="00305D03"/>
    <w:rsid w:val="003076E2"/>
    <w:rsid w:val="00310301"/>
    <w:rsid w:val="00314AE0"/>
    <w:rsid w:val="00325A1D"/>
    <w:rsid w:val="003300A8"/>
    <w:rsid w:val="003459A3"/>
    <w:rsid w:val="00357B9C"/>
    <w:rsid w:val="00372465"/>
    <w:rsid w:val="00383E9F"/>
    <w:rsid w:val="0038659B"/>
    <w:rsid w:val="003A027F"/>
    <w:rsid w:val="003B0426"/>
    <w:rsid w:val="003B29E7"/>
    <w:rsid w:val="003B3C1D"/>
    <w:rsid w:val="003B44C1"/>
    <w:rsid w:val="00400023"/>
    <w:rsid w:val="0040047F"/>
    <w:rsid w:val="00401F4A"/>
    <w:rsid w:val="00405111"/>
    <w:rsid w:val="00411F47"/>
    <w:rsid w:val="00427527"/>
    <w:rsid w:val="00435436"/>
    <w:rsid w:val="0044695D"/>
    <w:rsid w:val="004520B7"/>
    <w:rsid w:val="0048276D"/>
    <w:rsid w:val="00494571"/>
    <w:rsid w:val="004A27D7"/>
    <w:rsid w:val="004A316E"/>
    <w:rsid w:val="004B75FE"/>
    <w:rsid w:val="004B7FD0"/>
    <w:rsid w:val="004C448A"/>
    <w:rsid w:val="004C44A5"/>
    <w:rsid w:val="004D61A0"/>
    <w:rsid w:val="004E4F27"/>
    <w:rsid w:val="004F46DE"/>
    <w:rsid w:val="004F6BAF"/>
    <w:rsid w:val="00521C86"/>
    <w:rsid w:val="00527686"/>
    <w:rsid w:val="00544331"/>
    <w:rsid w:val="00561B97"/>
    <w:rsid w:val="005B51C1"/>
    <w:rsid w:val="005D4425"/>
    <w:rsid w:val="005D7072"/>
    <w:rsid w:val="005F4299"/>
    <w:rsid w:val="00615AB0"/>
    <w:rsid w:val="006171EF"/>
    <w:rsid w:val="00626277"/>
    <w:rsid w:val="00634158"/>
    <w:rsid w:val="00637523"/>
    <w:rsid w:val="006519F3"/>
    <w:rsid w:val="006626BB"/>
    <w:rsid w:val="006665E5"/>
    <w:rsid w:val="006806B1"/>
    <w:rsid w:val="00682745"/>
    <w:rsid w:val="00683F61"/>
    <w:rsid w:val="00685F79"/>
    <w:rsid w:val="00694AF4"/>
    <w:rsid w:val="006951E3"/>
    <w:rsid w:val="006B5FD7"/>
    <w:rsid w:val="006C2C04"/>
    <w:rsid w:val="006E019D"/>
    <w:rsid w:val="006E1193"/>
    <w:rsid w:val="006F3E21"/>
    <w:rsid w:val="006F63AD"/>
    <w:rsid w:val="00711E3E"/>
    <w:rsid w:val="00715884"/>
    <w:rsid w:val="007279F3"/>
    <w:rsid w:val="00744502"/>
    <w:rsid w:val="00746D6A"/>
    <w:rsid w:val="00754C95"/>
    <w:rsid w:val="007567D8"/>
    <w:rsid w:val="00757FBB"/>
    <w:rsid w:val="00762D9F"/>
    <w:rsid w:val="007722DD"/>
    <w:rsid w:val="007869D2"/>
    <w:rsid w:val="007A3519"/>
    <w:rsid w:val="007A37DD"/>
    <w:rsid w:val="007A4E1A"/>
    <w:rsid w:val="007A6571"/>
    <w:rsid w:val="007B21FF"/>
    <w:rsid w:val="007B4C5D"/>
    <w:rsid w:val="007F6E4B"/>
    <w:rsid w:val="00825ED5"/>
    <w:rsid w:val="00844F73"/>
    <w:rsid w:val="00846C95"/>
    <w:rsid w:val="00860007"/>
    <w:rsid w:val="00871E2F"/>
    <w:rsid w:val="00894C63"/>
    <w:rsid w:val="008B74FD"/>
    <w:rsid w:val="008C00DF"/>
    <w:rsid w:val="008C0FF7"/>
    <w:rsid w:val="008C25A5"/>
    <w:rsid w:val="008C39F1"/>
    <w:rsid w:val="008F48CC"/>
    <w:rsid w:val="008F5401"/>
    <w:rsid w:val="0090517A"/>
    <w:rsid w:val="0091426A"/>
    <w:rsid w:val="00922898"/>
    <w:rsid w:val="00927A6F"/>
    <w:rsid w:val="00942F82"/>
    <w:rsid w:val="00965F83"/>
    <w:rsid w:val="009716F3"/>
    <w:rsid w:val="00985B1C"/>
    <w:rsid w:val="009904AA"/>
    <w:rsid w:val="00994C7C"/>
    <w:rsid w:val="009B4531"/>
    <w:rsid w:val="009B4546"/>
    <w:rsid w:val="009D53D2"/>
    <w:rsid w:val="009D5865"/>
    <w:rsid w:val="009D5D61"/>
    <w:rsid w:val="009E106C"/>
    <w:rsid w:val="009F7217"/>
    <w:rsid w:val="00A064E2"/>
    <w:rsid w:val="00A326AF"/>
    <w:rsid w:val="00A32FB1"/>
    <w:rsid w:val="00A3464F"/>
    <w:rsid w:val="00A3662D"/>
    <w:rsid w:val="00A4546C"/>
    <w:rsid w:val="00A54169"/>
    <w:rsid w:val="00A9223C"/>
    <w:rsid w:val="00AB6103"/>
    <w:rsid w:val="00AC5E86"/>
    <w:rsid w:val="00AE5FAB"/>
    <w:rsid w:val="00AF0C54"/>
    <w:rsid w:val="00AF6555"/>
    <w:rsid w:val="00B1225C"/>
    <w:rsid w:val="00B222FE"/>
    <w:rsid w:val="00B353BD"/>
    <w:rsid w:val="00B37A84"/>
    <w:rsid w:val="00B546BD"/>
    <w:rsid w:val="00B60953"/>
    <w:rsid w:val="00B75F0E"/>
    <w:rsid w:val="00B902D0"/>
    <w:rsid w:val="00BA2AC8"/>
    <w:rsid w:val="00BB3A91"/>
    <w:rsid w:val="00BB48D1"/>
    <w:rsid w:val="00BC08B0"/>
    <w:rsid w:val="00BC796F"/>
    <w:rsid w:val="00BE175C"/>
    <w:rsid w:val="00C10AAB"/>
    <w:rsid w:val="00C11AED"/>
    <w:rsid w:val="00C142A0"/>
    <w:rsid w:val="00C23569"/>
    <w:rsid w:val="00C337A6"/>
    <w:rsid w:val="00C40A26"/>
    <w:rsid w:val="00C51487"/>
    <w:rsid w:val="00C56D88"/>
    <w:rsid w:val="00C56DAE"/>
    <w:rsid w:val="00C60E57"/>
    <w:rsid w:val="00C74790"/>
    <w:rsid w:val="00C94DAC"/>
    <w:rsid w:val="00CA09F6"/>
    <w:rsid w:val="00CA5444"/>
    <w:rsid w:val="00CB2002"/>
    <w:rsid w:val="00CB5061"/>
    <w:rsid w:val="00CB7BE2"/>
    <w:rsid w:val="00CC3066"/>
    <w:rsid w:val="00CC7241"/>
    <w:rsid w:val="00CC766F"/>
    <w:rsid w:val="00CE4721"/>
    <w:rsid w:val="00CF275D"/>
    <w:rsid w:val="00CF35F2"/>
    <w:rsid w:val="00CF6944"/>
    <w:rsid w:val="00D16234"/>
    <w:rsid w:val="00D2372F"/>
    <w:rsid w:val="00D253C6"/>
    <w:rsid w:val="00D31110"/>
    <w:rsid w:val="00D3576E"/>
    <w:rsid w:val="00D35F31"/>
    <w:rsid w:val="00D408B5"/>
    <w:rsid w:val="00D470B8"/>
    <w:rsid w:val="00D804AB"/>
    <w:rsid w:val="00D84891"/>
    <w:rsid w:val="00D85322"/>
    <w:rsid w:val="00D86E94"/>
    <w:rsid w:val="00D92F71"/>
    <w:rsid w:val="00DA630C"/>
    <w:rsid w:val="00DA6CFA"/>
    <w:rsid w:val="00DC2A49"/>
    <w:rsid w:val="00DC5A75"/>
    <w:rsid w:val="00DD0778"/>
    <w:rsid w:val="00DD75C9"/>
    <w:rsid w:val="00DE24CD"/>
    <w:rsid w:val="00DF53AE"/>
    <w:rsid w:val="00E00501"/>
    <w:rsid w:val="00E0090A"/>
    <w:rsid w:val="00E026B8"/>
    <w:rsid w:val="00E06DCC"/>
    <w:rsid w:val="00E151D0"/>
    <w:rsid w:val="00E23115"/>
    <w:rsid w:val="00E36397"/>
    <w:rsid w:val="00E76B26"/>
    <w:rsid w:val="00E770B8"/>
    <w:rsid w:val="00E86D2E"/>
    <w:rsid w:val="00E870B5"/>
    <w:rsid w:val="00E9125E"/>
    <w:rsid w:val="00EA5ECB"/>
    <w:rsid w:val="00ED1335"/>
    <w:rsid w:val="00ED77F1"/>
    <w:rsid w:val="00F07098"/>
    <w:rsid w:val="00F2255F"/>
    <w:rsid w:val="00F26555"/>
    <w:rsid w:val="00F37269"/>
    <w:rsid w:val="00F37F1A"/>
    <w:rsid w:val="00F55E74"/>
    <w:rsid w:val="00F6099A"/>
    <w:rsid w:val="00F7395B"/>
    <w:rsid w:val="00F82F0B"/>
    <w:rsid w:val="00F82F72"/>
    <w:rsid w:val="00F82F9F"/>
    <w:rsid w:val="00F9227A"/>
    <w:rsid w:val="00F95A2F"/>
    <w:rsid w:val="00FA1B95"/>
    <w:rsid w:val="00FA233A"/>
    <w:rsid w:val="00FA47AD"/>
    <w:rsid w:val="00FB388D"/>
    <w:rsid w:val="00FB3CBA"/>
    <w:rsid w:val="00FB5633"/>
    <w:rsid w:val="00FC4BA5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781EAB90"/>
  <w15:chartTrackingRefBased/>
  <w15:docId w15:val="{C7F16D8C-2DFD-47C5-8587-84562A86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94C7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994C7C"/>
  </w:style>
  <w:style w:type="paragraph" w:styleId="Kopfzeile">
    <w:name w:val="header"/>
    <w:basedOn w:val="Standard"/>
    <w:rsid w:val="00994C7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Fuzeile">
    <w:name w:val="footer"/>
    <w:basedOn w:val="Standard"/>
    <w:link w:val="FuzeileZchn"/>
    <w:rsid w:val="00994C7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sid w:val="00994C7C"/>
    <w:rPr>
      <w:sz w:val="20"/>
    </w:rPr>
  </w:style>
  <w:style w:type="character" w:styleId="Funotenzeichen">
    <w:name w:val="footnote reference"/>
    <w:semiHidden/>
    <w:rsid w:val="00994C7C"/>
    <w:rPr>
      <w:vertAlign w:val="superscript"/>
    </w:rPr>
  </w:style>
  <w:style w:type="character" w:customStyle="1" w:styleId="FuzeileZchn">
    <w:name w:val="Fußzeile Zchn"/>
    <w:link w:val="Fuzeile"/>
    <w:rsid w:val="0012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 to the Contract pursuant to RAL-UZ 17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Contract pursuant to RAL-UZ 17</dc:title>
  <dc:subject/>
  <dc:creator>sobisch</dc:creator>
  <cp:keywords/>
  <cp:lastModifiedBy>Reithel, Marina</cp:lastModifiedBy>
  <cp:revision>3</cp:revision>
  <dcterms:created xsi:type="dcterms:W3CDTF">2021-02-04T09:42:00Z</dcterms:created>
  <dcterms:modified xsi:type="dcterms:W3CDTF">2021-02-04T14:46:00Z</dcterms:modified>
</cp:coreProperties>
</file>